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2B" w:rsidRDefault="00D0762B" w:rsidP="00D0762B">
      <w:pPr>
        <w:spacing w:before="120" w:after="280" w:afterAutospacing="1"/>
        <w:jc w:val="center"/>
        <w:rPr>
          <w:b/>
          <w:bCs/>
        </w:rPr>
      </w:pPr>
      <w:bookmarkStart w:id="0" w:name="chuong_pl_10"/>
      <w:bookmarkStart w:id="1" w:name="_GoBack"/>
      <w:bookmarkEnd w:id="1"/>
      <w:r>
        <w:rPr>
          <w:b/>
          <w:bCs/>
          <w:lang w:val="vi-VN"/>
        </w:rPr>
        <w:t>Biểu mẫu 10</w:t>
      </w:r>
      <w:bookmarkEnd w:id="0"/>
    </w:p>
    <w:p w:rsidR="00220790" w:rsidRPr="00220790" w:rsidRDefault="00220790" w:rsidP="00D0762B">
      <w:pPr>
        <w:spacing w:before="120" w:after="280" w:afterAutospacing="1"/>
        <w:jc w:val="center"/>
      </w:pPr>
    </w:p>
    <w:p w:rsidR="00D0762B" w:rsidRDefault="00D0762B" w:rsidP="00D0762B">
      <w:r>
        <w:t xml:space="preserve">          UBND QUẬN BÌNH TÂN</w:t>
      </w:r>
    </w:p>
    <w:p w:rsidR="00D0762B" w:rsidRPr="00D0762B" w:rsidRDefault="00D0762B" w:rsidP="00D0762B">
      <w:pPr>
        <w:rPr>
          <w:b/>
        </w:rPr>
      </w:pPr>
      <w:r w:rsidRPr="00D0762B">
        <w:rPr>
          <w:b/>
        </w:rPr>
        <w:t>TRƯỜNG THCS BÌNH HƯNG HÒA</w:t>
      </w:r>
    </w:p>
    <w:p w:rsidR="00D0762B" w:rsidRDefault="00D0762B" w:rsidP="00D0762B">
      <w:pPr>
        <w:spacing w:before="120" w:after="280" w:afterAutospacing="1"/>
        <w:jc w:val="center"/>
        <w:rPr>
          <w:b/>
          <w:bCs/>
        </w:rPr>
      </w:pPr>
      <w:bookmarkStart w:id="2" w:name="chuong_pl_10_name"/>
      <w:r>
        <w:rPr>
          <w:b/>
          <w:bCs/>
          <w:lang w:val="vi-VN"/>
        </w:rPr>
        <w:t>THÔNG BÁO</w:t>
      </w:r>
      <w:bookmarkEnd w:id="2"/>
    </w:p>
    <w:p w:rsidR="00F909C1" w:rsidRDefault="00D0762B" w:rsidP="00F909C1">
      <w:pPr>
        <w:jc w:val="center"/>
        <w:rPr>
          <w:b/>
          <w:bCs/>
        </w:rPr>
      </w:pPr>
      <w:bookmarkStart w:id="3" w:name="chuong_pl_10_name_name"/>
      <w:r>
        <w:rPr>
          <w:b/>
          <w:bCs/>
          <w:lang w:val="vi-VN"/>
        </w:rPr>
        <w:t xml:space="preserve">Công khai thông tin chất lượng giáo dục thực tế của trường trung học cơ sở và </w:t>
      </w:r>
    </w:p>
    <w:p w:rsidR="00D0762B" w:rsidRPr="00D0762B" w:rsidRDefault="00F909C1" w:rsidP="00F909C1">
      <w:pPr>
        <w:jc w:val="center"/>
      </w:pPr>
      <w:r>
        <w:rPr>
          <w:b/>
          <w:bCs/>
          <w:lang w:val="vi-VN"/>
        </w:rPr>
        <w:t xml:space="preserve">trường trung học phổ thông, Học kỳ </w:t>
      </w:r>
      <w:r w:rsidR="00097294">
        <w:rPr>
          <w:b/>
          <w:bCs/>
        </w:rPr>
        <w:t>I</w:t>
      </w:r>
      <w:r>
        <w:rPr>
          <w:b/>
          <w:bCs/>
          <w:lang w:val="vi-VN"/>
        </w:rPr>
        <w:t xml:space="preserve">I </w:t>
      </w:r>
      <w:r w:rsidR="00D0762B">
        <w:rPr>
          <w:b/>
          <w:bCs/>
          <w:lang w:val="vi-VN"/>
        </w:rPr>
        <w:t>năm học</w:t>
      </w:r>
      <w:bookmarkEnd w:id="3"/>
      <w:r w:rsidR="00D0762B">
        <w:rPr>
          <w:b/>
          <w:bCs/>
        </w:rPr>
        <w:t xml:space="preserve"> 201</w:t>
      </w:r>
      <w:r w:rsidR="0045653E">
        <w:rPr>
          <w:b/>
          <w:bCs/>
        </w:rPr>
        <w:t>9 - 2020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770"/>
        <w:gridCol w:w="807"/>
        <w:gridCol w:w="807"/>
        <w:gridCol w:w="807"/>
        <w:gridCol w:w="807"/>
        <w:gridCol w:w="760"/>
      </w:tblGrid>
      <w:tr w:rsidR="001D2A99" w:rsidTr="006F3BBA"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59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62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1D2A99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D0762B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8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9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1811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750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481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361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219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1387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76,55%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569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75,77%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372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77,34%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280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77,56%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166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75,80%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411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22,68%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175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23,30%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107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22,25%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78 </w:t>
            </w:r>
          </w:p>
          <w:p w:rsidR="006C5949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21,61%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51 </w:t>
            </w:r>
          </w:p>
          <w:p w:rsidR="0009598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23,29%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14 </w:t>
            </w:r>
          </w:p>
          <w:p w:rsidR="0009598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0,77%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7 </w:t>
            </w:r>
          </w:p>
          <w:p w:rsidR="0009598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0,93%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2 </w:t>
            </w:r>
          </w:p>
          <w:p w:rsidR="0009598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0,42%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3 </w:t>
            </w:r>
          </w:p>
          <w:p w:rsidR="0009598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0,83%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2 </w:t>
            </w:r>
          </w:p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0,91%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D0762B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  <w:r w:rsidR="009E31C3" w:rsidRPr="00097294">
              <w:rPr>
                <w:color w:val="FF0000"/>
              </w:rPr>
              <w:t>0%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  <w:r w:rsidRPr="00097294">
              <w:rPr>
                <w:color w:val="FF0000"/>
              </w:rPr>
              <w:t>0%</w:t>
            </w:r>
            <w:r w:rsidR="00D0762B"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  <w:r w:rsidRPr="00097294">
              <w:rPr>
                <w:color w:val="FF0000"/>
              </w:rPr>
              <w:t>0%</w:t>
            </w:r>
            <w:r w:rsidR="00D0762B"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D0762B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  <w:r w:rsidR="009E31C3" w:rsidRPr="00097294">
              <w:rPr>
                <w:color w:val="FF0000"/>
                <w:lang w:val="vi-VN"/>
              </w:rPr>
              <w:t> </w:t>
            </w:r>
            <w:r w:rsidR="009E31C3" w:rsidRPr="00097294">
              <w:rPr>
                <w:color w:val="FF0000"/>
              </w:rPr>
              <w:t>0%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  <w:r w:rsidRPr="00097294">
              <w:rPr>
                <w:color w:val="FF0000"/>
              </w:rPr>
              <w:t>0%</w:t>
            </w:r>
            <w:r w:rsidR="00D0762B" w:rsidRPr="00097294">
              <w:rPr>
                <w:color w:val="FF0000"/>
                <w:lang w:val="vi-VN"/>
              </w:rPr>
              <w:t> 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Default="009E31C3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Default="009E31C3" w:rsidP="009E31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1811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750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481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361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219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Default="009E31C3" w:rsidP="009E31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Default="009E31C3" w:rsidP="009E31C3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9E31C3" w:rsidRDefault="009E31C3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306 </w:t>
            </w:r>
          </w:p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16,89%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124 </w:t>
            </w:r>
          </w:p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16,51%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74 </w:t>
            </w:r>
          </w:p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15,38%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70 </w:t>
            </w:r>
          </w:p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19,39%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38 </w:t>
            </w:r>
          </w:p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17,35%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Default="009E31C3" w:rsidP="009E31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1C3" w:rsidRDefault="009E31C3" w:rsidP="009E31C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9E31C3" w:rsidRDefault="009E31C3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580 </w:t>
            </w:r>
          </w:p>
          <w:p w:rsidR="009E31C3" w:rsidRPr="00097294" w:rsidRDefault="009E31C3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32,01%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228 </w:t>
            </w:r>
          </w:p>
          <w:p w:rsidR="009E31C3" w:rsidRPr="00097294" w:rsidRDefault="006F3BBA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30,36%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170 </w:t>
            </w:r>
          </w:p>
          <w:p w:rsidR="009E31C3" w:rsidRPr="00097294" w:rsidRDefault="006F3BBA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35,34%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120 </w:t>
            </w:r>
          </w:p>
          <w:p w:rsidR="009E31C3" w:rsidRPr="00097294" w:rsidRDefault="006F3BBA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33,24%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62 </w:t>
            </w:r>
          </w:p>
          <w:p w:rsidR="009E31C3" w:rsidRPr="00097294" w:rsidRDefault="006F3BBA" w:rsidP="009E31C3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28,31%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562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31,02%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222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29,56%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147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30,56%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108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29,92%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85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38,81%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328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18,1%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158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21,04%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87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18,09%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52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14,40%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31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14,16%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lastRenderedPageBreak/>
              <w:t xml:space="preserve">36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1,99%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19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2,53%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3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0,62%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11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3,05%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 xml:space="preserve">9 </w:t>
            </w:r>
          </w:p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1,37%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III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1D2A99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5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6F3BBA" w:rsidRDefault="006F3BBA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887/924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375/376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229/252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186/175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98/121</w:t>
            </w:r>
          </w:p>
        </w:tc>
      </w:tr>
      <w:tr w:rsidR="001D2A99" w:rsidTr="006F3BB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5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Default="006F3BBA" w:rsidP="006F3BBA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81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40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16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14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BBA" w:rsidRPr="00097294" w:rsidRDefault="006F3BBA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</w:rPr>
              <w:t>11</w:t>
            </w:r>
          </w:p>
        </w:tc>
      </w:tr>
    </w:tbl>
    <w:p w:rsidR="00D0762B" w:rsidRDefault="00D0762B" w:rsidP="00D0762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0762B" w:rsidTr="009E31C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2B" w:rsidRDefault="00791010" w:rsidP="00F909C1">
            <w:pPr>
              <w:spacing w:before="120"/>
              <w:jc w:val="center"/>
            </w:pPr>
            <w:r>
              <w:t>Bình Tân</w:t>
            </w:r>
            <w:r w:rsidR="00D0762B">
              <w:rPr>
                <w:lang w:val="vi-VN"/>
              </w:rPr>
              <w:t xml:space="preserve">, ngày </w:t>
            </w:r>
            <w:r w:rsidR="00F909C1">
              <w:t>06</w:t>
            </w:r>
            <w:r>
              <w:t xml:space="preserve"> </w:t>
            </w:r>
            <w:r w:rsidR="00D0762B">
              <w:t xml:space="preserve"> </w:t>
            </w:r>
            <w:r w:rsidR="00D0762B">
              <w:rPr>
                <w:lang w:val="vi-VN"/>
              </w:rPr>
              <w:t xml:space="preserve">tháng </w:t>
            </w:r>
            <w:r w:rsidR="00F909C1">
              <w:t>01</w:t>
            </w:r>
            <w:r w:rsidR="00D0762B">
              <w:t xml:space="preserve"> </w:t>
            </w:r>
            <w:r w:rsidR="00D0762B">
              <w:rPr>
                <w:lang w:val="vi-VN"/>
              </w:rPr>
              <w:t>năm</w:t>
            </w:r>
            <w:r w:rsidR="00D0762B">
              <w:t xml:space="preserve"> </w:t>
            </w:r>
            <w:r>
              <w:t>20</w:t>
            </w:r>
            <w:r w:rsidR="00F909C1">
              <w:t>20</w:t>
            </w:r>
            <w:r w:rsidR="00D0762B">
              <w:br/>
            </w:r>
            <w:r w:rsidR="00D0762B" w:rsidRPr="00791010">
              <w:rPr>
                <w:b/>
                <w:lang w:val="vi-VN"/>
              </w:rPr>
              <w:t>Thủ trưởng đơn vị</w:t>
            </w:r>
            <w:r w:rsidR="00D0762B" w:rsidRPr="00791010">
              <w:rPr>
                <w:b/>
              </w:rPr>
              <w:br/>
            </w:r>
          </w:p>
        </w:tc>
      </w:tr>
    </w:tbl>
    <w:p w:rsidR="00D0762B" w:rsidRDefault="00D0762B" w:rsidP="00D0762B">
      <w:pPr>
        <w:spacing w:before="120" w:after="280" w:afterAutospacing="1"/>
      </w:pPr>
      <w:r>
        <w:t> </w:t>
      </w:r>
    </w:p>
    <w:p w:rsidR="00791010" w:rsidRDefault="00791010">
      <w:pPr>
        <w:spacing w:after="200" w:line="276" w:lineRule="auto"/>
        <w:rPr>
          <w:b/>
          <w:bCs/>
          <w:lang w:val="vi-VN"/>
        </w:rPr>
      </w:pPr>
      <w:bookmarkStart w:id="4" w:name="chuong_pl_11"/>
      <w:r>
        <w:rPr>
          <w:b/>
          <w:bCs/>
          <w:lang w:val="vi-VN"/>
        </w:rPr>
        <w:br w:type="page"/>
      </w:r>
    </w:p>
    <w:p w:rsidR="00D0762B" w:rsidRDefault="00D0762B" w:rsidP="00D0762B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11</w:t>
      </w:r>
      <w:bookmarkEnd w:id="4"/>
    </w:p>
    <w:p w:rsidR="00D0762B" w:rsidRPr="00791010" w:rsidRDefault="00791010" w:rsidP="00791010">
      <w:r>
        <w:t xml:space="preserve">       UBND QUẬN BÌNH TÂN</w:t>
      </w:r>
    </w:p>
    <w:p w:rsidR="00D0762B" w:rsidRPr="00791010" w:rsidRDefault="00791010" w:rsidP="00791010">
      <w:pPr>
        <w:rPr>
          <w:b/>
        </w:rPr>
      </w:pPr>
      <w:r w:rsidRPr="00791010">
        <w:rPr>
          <w:b/>
        </w:rPr>
        <w:t>TRƯỜNG THCS BÌNH HƯNG HÒA</w:t>
      </w:r>
    </w:p>
    <w:p w:rsidR="00D0762B" w:rsidRDefault="00D0762B" w:rsidP="00D0762B">
      <w:pPr>
        <w:spacing w:before="120" w:after="280" w:afterAutospacing="1"/>
        <w:jc w:val="center"/>
      </w:pPr>
      <w:bookmarkStart w:id="5" w:name="chuong_pl_11_name"/>
      <w:r>
        <w:rPr>
          <w:b/>
          <w:bCs/>
          <w:lang w:val="vi-VN"/>
        </w:rPr>
        <w:t>THÔNG BÁO</w:t>
      </w:r>
      <w:bookmarkEnd w:id="5"/>
    </w:p>
    <w:p w:rsidR="00D0762B" w:rsidRPr="00791010" w:rsidRDefault="00D0762B" w:rsidP="00D0762B">
      <w:pPr>
        <w:spacing w:before="120" w:after="280" w:afterAutospacing="1"/>
        <w:jc w:val="center"/>
      </w:pPr>
      <w:bookmarkStart w:id="6" w:name="chuong_pl_11_name_name"/>
      <w:r>
        <w:rPr>
          <w:b/>
          <w:bCs/>
          <w:lang w:val="vi-VN"/>
        </w:rPr>
        <w:t xml:space="preserve">Công khai thông tin cơ sở vật chất của trường trung học cơ sở và trường trung học phổ thông, </w:t>
      </w:r>
      <w:r w:rsidR="001E1E44">
        <w:rPr>
          <w:b/>
          <w:bCs/>
        </w:rPr>
        <w:t xml:space="preserve">Học kỳ I </w:t>
      </w:r>
      <w:r>
        <w:rPr>
          <w:b/>
          <w:bCs/>
          <w:lang w:val="vi-VN"/>
        </w:rPr>
        <w:t xml:space="preserve">năm học </w:t>
      </w:r>
      <w:bookmarkEnd w:id="6"/>
      <w:r w:rsidR="00791010">
        <w:rPr>
          <w:b/>
          <w:bCs/>
        </w:rPr>
        <w:t>201</w:t>
      </w:r>
      <w:r w:rsidR="001E1E44">
        <w:rPr>
          <w:b/>
          <w:bCs/>
        </w:rPr>
        <w:t>9</w:t>
      </w:r>
      <w:r w:rsidR="00791010">
        <w:rPr>
          <w:b/>
          <w:bCs/>
        </w:rPr>
        <w:t xml:space="preserve"> - 20</w:t>
      </w:r>
      <w:r w:rsidR="001E1E44">
        <w:rPr>
          <w:b/>
          <w:bCs/>
        </w:rPr>
        <w:t>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D0762B" w:rsidTr="009E31C3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D2A99">
              <w:t>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1,06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1,2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1,06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1,06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907BF">
              <w:t>7445.91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907BF" w:rsidP="009E31C3">
            <w:pPr>
              <w:spacing w:before="120"/>
              <w:jc w:val="center"/>
            </w:pPr>
            <w:r>
              <w:t>6.79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907BF">
              <w:t>2180.96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907BF" w:rsidP="009E31C3">
            <w:pPr>
              <w:spacing w:before="120"/>
              <w:jc w:val="center"/>
            </w:pPr>
            <w:r>
              <w:t>1.98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2034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1440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0,78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450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0,24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1D2A99">
            <w:pPr>
              <w:spacing w:before="120"/>
              <w:jc w:val="center"/>
            </w:pPr>
            <w:r>
              <w:t>0,09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E4567D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E4567D">
            <w:pPr>
              <w:spacing w:before="120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Số bộ/lớp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1D2A99">
            <w:pPr>
              <w:spacing w:before="120"/>
              <w:jc w:val="center"/>
            </w:pPr>
            <w:r>
              <w:t> </w:t>
            </w:r>
            <w:r w:rsidR="001D2A99">
              <w:t>115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D2A99" w:rsidRDefault="001D2A99" w:rsidP="009E31C3">
            <w:pPr>
              <w:spacing w:before="120"/>
              <w:jc w:val="center"/>
            </w:pPr>
            <w:r>
              <w:t>115/41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907BF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01</w:t>
            </w:r>
            <w:r w:rsidR="00D0762B"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lastRenderedPageBreak/>
              <w:t>1.2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907BF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D2A99">
              <w:t>62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D2A99" w:rsidP="009E31C3">
            <w:pPr>
              <w:spacing w:before="120"/>
              <w:jc w:val="center"/>
            </w:pPr>
            <w:r>
              <w:t>05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907BF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1D2A99">
            <w:pPr>
              <w:spacing w:before="120"/>
              <w:jc w:val="center"/>
            </w:pPr>
            <w:r>
              <w:t> </w:t>
            </w:r>
            <w:r w:rsidR="001D2A99">
              <w:t>34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D2A99" w:rsidP="009E31C3">
            <w:pPr>
              <w:spacing w:before="120"/>
              <w:jc w:val="center"/>
            </w:pPr>
            <w:r>
              <w:t>04</w:t>
            </w:r>
          </w:p>
        </w:tc>
      </w:tr>
      <w:tr w:rsidR="001907BF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Default="001907BF" w:rsidP="009E31C3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Pr="001907BF" w:rsidRDefault="001907BF" w:rsidP="009E31C3">
            <w:pPr>
              <w:spacing w:before="120"/>
            </w:pPr>
            <w: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Default="001D2A99" w:rsidP="009E31C3">
            <w:pPr>
              <w:spacing w:before="120"/>
              <w:jc w:val="center"/>
            </w:pPr>
            <w:r>
              <w:t>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Pr="001907BF" w:rsidRDefault="001D2A99" w:rsidP="009E31C3">
            <w:pPr>
              <w:spacing w:before="120"/>
              <w:jc w:val="center"/>
            </w:pPr>
            <w:r>
              <w:t>0.4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220790">
              <w:t>140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140/41</w:t>
            </w:r>
            <w:r w:rsidR="00D0762B"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CA59E8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5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CA59E8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9E31C3">
            <w:pPr>
              <w:spacing w:before="120"/>
            </w:pPr>
            <w:r>
              <w:rPr>
                <w:lang w:val="vi-VN"/>
              </w:rPr>
              <w:t>Khố</w:t>
            </w:r>
            <w:r w:rsidR="00CA59E8">
              <w:rPr>
                <w:lang w:val="vi-VN"/>
              </w:rPr>
              <w:t>i lớp</w:t>
            </w:r>
            <w:r w:rsidR="00CA59E8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2</w:t>
            </w:r>
          </w:p>
        </w:tc>
      </w:tr>
      <w:tr w:rsidR="00CA59E8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Default="00CA59E8" w:rsidP="009E31C3">
            <w:pPr>
              <w:spacing w:before="120"/>
              <w:jc w:val="center"/>
            </w:pPr>
            <w: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Pr="00CA59E8" w:rsidRDefault="00CA59E8" w:rsidP="009E31C3">
            <w:pPr>
              <w:spacing w:before="120"/>
            </w:pPr>
            <w: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Default="00220790" w:rsidP="009E31C3">
            <w:pPr>
              <w:spacing w:before="120"/>
              <w:jc w:val="center"/>
            </w:pPr>
            <w:r>
              <w:t>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Pr="00220790" w:rsidRDefault="00220790" w:rsidP="009E31C3">
            <w:pPr>
              <w:spacing w:before="120"/>
              <w:jc w:val="center"/>
            </w:pPr>
            <w:r>
              <w:t>5,6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CA59E8" w:rsidP="009E31C3">
            <w:pPr>
              <w:spacing w:before="120"/>
              <w:jc w:val="center"/>
            </w:pPr>
            <w:r>
              <w:t>0</w:t>
            </w:r>
            <w:r w:rsidR="00D0762B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26,9</w:t>
            </w:r>
            <w:r w:rsidR="00CA59E8">
              <w:t xml:space="preserve"> </w:t>
            </w:r>
            <w:r w:rsidR="00D0762B">
              <w:rPr>
                <w:lang w:val="vi-VN"/>
              </w:rPr>
              <w:t>/</w:t>
            </w:r>
            <w:r w:rsidR="00CA59E8">
              <w:t xml:space="preserve"> 1</w:t>
            </w:r>
            <w:r w:rsidR="00D0762B">
              <w:rPr>
                <w:lang w:val="vi-VN"/>
              </w:rPr>
              <w:t>bộ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1D2A99">
            <w:pPr>
              <w:spacing w:before="120"/>
              <w:jc w:val="center"/>
            </w:pPr>
            <w:r>
              <w:t>8</w:t>
            </w:r>
            <w:r w:rsidR="00CA59E8">
              <w:t xml:space="preserve"> </w:t>
            </w:r>
            <w:r w:rsidR="00D0762B">
              <w:rPr>
                <w:lang w:val="vi-VN"/>
              </w:rPr>
              <w:t>/</w:t>
            </w:r>
            <w:r w:rsidR="00CA59E8">
              <w:t xml:space="preserve"> </w:t>
            </w:r>
            <w:r w:rsidR="001D2A99">
              <w:t xml:space="preserve">41 </w:t>
            </w:r>
            <w:r w:rsidR="00D0762B">
              <w:rPr>
                <w:lang w:val="vi-VN"/>
              </w:rPr>
              <w:t>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1D2A99">
            <w:pPr>
              <w:spacing w:before="120"/>
              <w:jc w:val="center"/>
            </w:pPr>
            <w:r>
              <w:t>1</w:t>
            </w:r>
            <w:r w:rsidR="00CA59E8">
              <w:t>/</w:t>
            </w:r>
            <w:r w:rsidR="00D0762B">
              <w:rPr>
                <w:lang w:val="vi-VN"/>
              </w:rPr>
              <w:t> </w:t>
            </w:r>
            <w:r w:rsidR="001D2A99">
              <w:t xml:space="preserve">41 </w:t>
            </w:r>
            <w:r w:rsidR="00CA59E8">
              <w:t xml:space="preserve"> 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6</w:t>
            </w:r>
            <w:r w:rsidR="00CA59E8">
              <w:t>/</w:t>
            </w:r>
            <w:r w:rsidR="001D2A99">
              <w:t xml:space="preserve">41 </w:t>
            </w:r>
            <w:r w:rsidR="00CA59E8">
              <w:t xml:space="preserve"> 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CA59E8" w:rsidP="009E31C3">
            <w:pPr>
              <w:spacing w:before="120"/>
            </w:pPr>
            <w:r>
              <w:rPr>
                <w:b/>
                <w:bCs/>
                <w:lang w:val="vi-VN"/>
              </w:rPr>
              <w:t>Thiết bị khác</w:t>
            </w:r>
            <w:r>
              <w:rPr>
                <w:b/>
                <w:bCs/>
              </w:rPr>
              <w:t xml:space="preserve"> Yamaha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A59E8">
              <w:t>1/</w:t>
            </w:r>
            <w:r w:rsidR="001D2A99">
              <w:t xml:space="preserve">41 </w:t>
            </w:r>
            <w:r w:rsidR="00CA59E8">
              <w:t xml:space="preserve"> lớp</w:t>
            </w:r>
          </w:p>
        </w:tc>
      </w:tr>
    </w:tbl>
    <w:p w:rsidR="00D0762B" w:rsidRDefault="00D0762B" w:rsidP="00D0762B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829"/>
        <w:gridCol w:w="3112"/>
        <w:gridCol w:w="1199"/>
        <w:gridCol w:w="2381"/>
      </w:tblGrid>
      <w:tr w:rsidR="00D0762B" w:rsidTr="009E31C3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22079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  <w:r w:rsidR="00220790">
              <w:rPr>
                <w:b/>
                <w:bCs/>
              </w:rPr>
              <w:t>07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220790">
            <w:pPr>
              <w:spacing w:before="120"/>
              <w:jc w:val="center"/>
            </w:pPr>
            <w:r>
              <w:rPr>
                <w:b/>
                <w:bCs/>
              </w:rPr>
              <w:t>7</w:t>
            </w:r>
            <w:r w:rsidR="00D0762B">
              <w:rPr>
                <w:b/>
                <w:bCs/>
                <w:lang w:val="vi-VN"/>
              </w:rPr>
              <w:t>/</w:t>
            </w:r>
            <w:r w:rsidR="006108EC">
              <w:rPr>
                <w:b/>
                <w:bCs/>
              </w:rPr>
              <w:t xml:space="preserve"> </w:t>
            </w:r>
            <w:r w:rsidR="001D2A99">
              <w:rPr>
                <w:b/>
                <w:bCs/>
              </w:rPr>
              <w:t>41</w:t>
            </w:r>
            <w:r w:rsidR="006108EC">
              <w:rPr>
                <w:b/>
                <w:bCs/>
              </w:rPr>
              <w:t xml:space="preserve"> </w:t>
            </w:r>
            <w:r w:rsidR="00D0762B">
              <w:rPr>
                <w:b/>
                <w:bCs/>
                <w:lang w:val="vi-VN"/>
              </w:rPr>
              <w:t>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6108EC" w:rsidP="009E31C3">
            <w:pPr>
              <w:spacing w:before="120"/>
              <w:jc w:val="center"/>
            </w:pPr>
            <w:r>
              <w:t>01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108EC">
              <w:t>1/</w:t>
            </w:r>
            <w:r w:rsidR="001D2A99">
              <w:t>41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06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06</w:t>
            </w:r>
            <w:r w:rsidR="006108EC">
              <w:t>/</w:t>
            </w:r>
            <w:r w:rsidR="001D2A99">
              <w:t>41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E4567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</w:tr>
    </w:tbl>
    <w:p w:rsidR="00E4567D" w:rsidRDefault="00D0762B" w:rsidP="00D0762B">
      <w:pPr>
        <w:spacing w:before="120" w:after="280" w:afterAutospacing="1"/>
      </w:pPr>
      <w:r>
        <w:t> </w:t>
      </w:r>
    </w:p>
    <w:p w:rsidR="00E4567D" w:rsidRDefault="00E4567D">
      <w:pPr>
        <w:spacing w:after="200" w:line="276" w:lineRule="auto"/>
      </w:pPr>
      <w:r>
        <w:br w:type="page"/>
      </w:r>
    </w:p>
    <w:p w:rsidR="00D0762B" w:rsidRDefault="00D0762B" w:rsidP="00D0762B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D0762B" w:rsidTr="009E31C3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</w:tr>
    </w:tbl>
    <w:p w:rsidR="00D0762B" w:rsidRDefault="00D0762B" w:rsidP="00D0762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D0762B" w:rsidTr="009E31C3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E4567D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4567D">
              <w:t>X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E4567D" w:rsidRDefault="00220790" w:rsidP="009E31C3">
            <w:pPr>
              <w:spacing w:before="120"/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220790" w:rsidP="009E31C3">
            <w:pPr>
              <w:spacing w:before="120"/>
              <w:jc w:val="center"/>
            </w:pPr>
            <w:r>
              <w:t>8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E4567D" w:rsidRDefault="00E4567D" w:rsidP="009E31C3">
            <w:pPr>
              <w:spacing w:before="120"/>
              <w:jc w:val="center"/>
            </w:pPr>
            <w:r>
              <w:t>X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220790" w:rsidP="009E31C3">
            <w:pPr>
              <w:spacing w:before="120"/>
              <w:jc w:val="center"/>
            </w:pPr>
            <w:r>
              <w:t>0,26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0762B" w:rsidRDefault="00D0762B" w:rsidP="00D0762B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816"/>
        <w:gridCol w:w="1822"/>
        <w:gridCol w:w="1827"/>
      </w:tblGrid>
      <w:tr w:rsidR="00D0762B" w:rsidTr="009E31C3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E4567D" w:rsidP="009E31C3">
            <w:pPr>
              <w:spacing w:before="120"/>
              <w:jc w:val="center"/>
            </w:pPr>
            <w:r>
              <w:t>X</w:t>
            </w:r>
            <w:r w:rsidR="00D0762B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E4567D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4567D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E4567D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4567D"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E4567D" w:rsidRDefault="00E4567D" w:rsidP="00E4567D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E4567D" w:rsidRDefault="00E4567D" w:rsidP="00E4567D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0762B" w:rsidRDefault="00D0762B" w:rsidP="00D0762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0762B" w:rsidTr="009E31C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2B" w:rsidRDefault="00791010" w:rsidP="001D2A99">
            <w:pPr>
              <w:spacing w:before="120"/>
              <w:jc w:val="center"/>
            </w:pPr>
            <w:r>
              <w:t>Bình Tân</w:t>
            </w:r>
            <w:r w:rsidR="00D0762B">
              <w:rPr>
                <w:lang w:val="vi-VN"/>
              </w:rPr>
              <w:t xml:space="preserve">, ngày </w:t>
            </w:r>
            <w:r>
              <w:t>0</w:t>
            </w:r>
            <w:r w:rsidR="001D2A99">
              <w:t>6</w:t>
            </w:r>
            <w:r w:rsidR="00D0762B">
              <w:t xml:space="preserve"> </w:t>
            </w:r>
            <w:r w:rsidR="00D0762B">
              <w:rPr>
                <w:lang w:val="vi-VN"/>
              </w:rPr>
              <w:t xml:space="preserve">tháng </w:t>
            </w:r>
            <w:r w:rsidR="001D2A99">
              <w:t>0</w:t>
            </w:r>
            <w:r>
              <w:t>1</w:t>
            </w:r>
            <w:r w:rsidR="00D0762B">
              <w:t xml:space="preserve"> </w:t>
            </w:r>
            <w:r w:rsidR="00D0762B">
              <w:rPr>
                <w:lang w:val="vi-VN"/>
              </w:rPr>
              <w:t>năm</w:t>
            </w:r>
            <w:r w:rsidR="00D0762B">
              <w:t xml:space="preserve"> </w:t>
            </w:r>
            <w:r w:rsidR="001D2A99">
              <w:t>2020</w:t>
            </w:r>
            <w:r w:rsidR="00D0762B">
              <w:br/>
            </w:r>
            <w:r w:rsidR="00D0762B" w:rsidRPr="00791010">
              <w:rPr>
                <w:b/>
                <w:sz w:val="28"/>
                <w:lang w:val="vi-VN"/>
              </w:rPr>
              <w:t>Thủ trưởng đơn vị</w:t>
            </w:r>
            <w:r w:rsidR="00D0762B">
              <w:br/>
            </w:r>
          </w:p>
        </w:tc>
      </w:tr>
    </w:tbl>
    <w:p w:rsidR="00B108F9" w:rsidRDefault="00B108F9"/>
    <w:sectPr w:rsidR="00B108F9" w:rsidSect="00791010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F1" w:rsidRDefault="00F846F1" w:rsidP="00E4567D">
      <w:r>
        <w:separator/>
      </w:r>
    </w:p>
  </w:endnote>
  <w:endnote w:type="continuationSeparator" w:id="0">
    <w:p w:rsidR="00F846F1" w:rsidRDefault="00F846F1" w:rsidP="00E4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092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A99" w:rsidRDefault="001D2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2A99" w:rsidRDefault="001D2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F1" w:rsidRDefault="00F846F1" w:rsidP="00E4567D">
      <w:r>
        <w:separator/>
      </w:r>
    </w:p>
  </w:footnote>
  <w:footnote w:type="continuationSeparator" w:id="0">
    <w:p w:rsidR="00F846F1" w:rsidRDefault="00F846F1" w:rsidP="00E4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B"/>
    <w:rsid w:val="0009598B"/>
    <w:rsid w:val="00097294"/>
    <w:rsid w:val="001907BF"/>
    <w:rsid w:val="001D2A99"/>
    <w:rsid w:val="001E1E44"/>
    <w:rsid w:val="00220790"/>
    <w:rsid w:val="0045653E"/>
    <w:rsid w:val="005C5012"/>
    <w:rsid w:val="006108EC"/>
    <w:rsid w:val="006C5949"/>
    <w:rsid w:val="006F3BBA"/>
    <w:rsid w:val="00791010"/>
    <w:rsid w:val="0080366B"/>
    <w:rsid w:val="009672B7"/>
    <w:rsid w:val="009A43D3"/>
    <w:rsid w:val="009E31C3"/>
    <w:rsid w:val="00A15DAD"/>
    <w:rsid w:val="00B108F9"/>
    <w:rsid w:val="00C166AA"/>
    <w:rsid w:val="00CA59E8"/>
    <w:rsid w:val="00D0762B"/>
    <w:rsid w:val="00E4567D"/>
    <w:rsid w:val="00F75F15"/>
    <w:rsid w:val="00F846F1"/>
    <w:rsid w:val="00F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AE0D-20C6-408D-9B59-3C6EC89A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thcsbhh</dc:creator>
  <cp:lastModifiedBy>HD King</cp:lastModifiedBy>
  <cp:revision>2</cp:revision>
  <cp:lastPrinted>2020-06-12T02:46:00Z</cp:lastPrinted>
  <dcterms:created xsi:type="dcterms:W3CDTF">2021-06-11T03:44:00Z</dcterms:created>
  <dcterms:modified xsi:type="dcterms:W3CDTF">2021-06-11T03:44:00Z</dcterms:modified>
</cp:coreProperties>
</file>